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9D5E2A" w:rsidRDefault="007D497A" w:rsidP="00F87737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9D5E2A" w:rsidRDefault="007D497A" w:rsidP="009D5E2A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9D5E2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Entretien Individuel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7D497A" w:rsidRDefault="007D497A" w:rsidP="00F74EA0">
      <w:pPr>
        <w:pStyle w:val="Titre1"/>
        <w:rPr>
          <w:rFonts w:ascii="Century Gothic" w:hAnsi="Century Gothic"/>
          <w:color w:val="1A9BFC"/>
          <w:sz w:val="40"/>
          <w:szCs w:val="40"/>
        </w:rPr>
      </w:pPr>
      <w:bookmarkStart w:id="2" w:name="_GoBack"/>
      <w:bookmarkEnd w:id="2"/>
    </w:p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7D497A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F06728" w:rsidRDefault="007D497A" w:rsidP="00C4488E">
      <w:pPr>
        <w:pStyle w:val="Titre1"/>
      </w:pPr>
      <w:hyperlink r:id="rId15" w:history="1">
        <w:r w:rsidR="00F74EA0" w:rsidRPr="00A30F9A">
          <w:t>Utilisation et administration du module Entretien</w:t>
        </w:r>
        <w:r w:rsidR="009D5E2A" w:rsidRPr="00A30F9A">
          <w:t xml:space="preserve"> Individuel</w:t>
        </w:r>
      </w:hyperlink>
      <w:r w:rsidR="00F74EA0" w:rsidRPr="00F06728">
        <w:t xml:space="preserve"> </w:t>
      </w:r>
    </w:p>
    <w:p w:rsidR="00F43B90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F43B9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Etapes de l’entretien</w:t>
        </w:r>
      </w:hyperlink>
    </w:p>
    <w:p w:rsidR="00F85E46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4670CF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</w:t>
        </w:r>
        <w:r w:rsidR="00F85E46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une campagne d’entretiens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C4488E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172AB6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Suivre</w:t>
        </w:r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analyser une campagne d'entretien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EE6D81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Préparer un entretien et publier sa préparation</w:t>
        </w:r>
      </w:hyperlink>
    </w:p>
    <w:p w:rsidR="00F74EA0" w:rsidRPr="00C4488E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232E22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Planifier les entretiens de son équipe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3E7FDB" w:rsidRDefault="007D497A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1" w:history="1">
        <w:r w:rsidR="007B4B26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Rédiger le compte-rendu et d</w:t>
        </w:r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éfinir des objectifs</w:t>
        </w:r>
      </w:hyperlink>
    </w:p>
    <w:p w:rsidR="00F06728" w:rsidRDefault="007D497A" w:rsidP="00F0672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2" w:history="1">
        <w:r w:rsidR="00F0672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Modifier le jeu de question et affecter les questions aux différents types de campagnes et à différents métiers</w:t>
        </w:r>
      </w:hyperlink>
    </w:p>
    <w:p w:rsidR="00F06728" w:rsidRPr="00F06728" w:rsidRDefault="007D497A" w:rsidP="00F0672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3" w:history="1">
        <w:r w:rsidR="00F0672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Paramétrer le circuit de validation des entretiens et la visualisation des préparations</w:t>
        </w:r>
      </w:hyperlink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lastRenderedPageBreak/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152F5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55D8E"/>
    <w:rsid w:val="00763C7B"/>
    <w:rsid w:val="007669DC"/>
    <w:rsid w:val="007903E9"/>
    <w:rsid w:val="007B4B26"/>
    <w:rsid w:val="007C389B"/>
    <w:rsid w:val="007D4574"/>
    <w:rsid w:val="007D497A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330F0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97FBD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87737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42449-Gestion-des-Ressources-Humaines-RH-Comment-piloter-une-campagne-d-entretiens-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help.eurecia.com/hc/fr/articles/115000652225-L-entretien-annuel-professionnel-individuel-de-votre-collaborateur-est-termin%C3%A9-comment-en-r%C3%A9diger-le-compte-rendu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42429-Gestion-des-Ressources-Humaines-RH-Comment-cr%C3%A9er-une-campagne-d-entretiens-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360000382569-Gestion-des-Ressources-Humaines-RH-Les-diff%C3%A9rentes-%C3%A9tapes-de-l-entretien-annuel-professionnel-etc-de-vos-collaborateurs-" TargetMode="External"/><Relationship Id="rId20" Type="http://schemas.openxmlformats.org/officeDocument/2006/relationships/hyperlink" Target="https://help.eurecia.com/hc/fr/articles/115000652205-Gestion-des-Ressources-Humaines-RH-En-tant-que-manager-comment-planifier-les-entretiens-de-son-%C3%A9quipe-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68925-Entretien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68925-Entretiens" TargetMode="External"/><Relationship Id="rId23" Type="http://schemas.openxmlformats.org/officeDocument/2006/relationships/hyperlink" Target="https://help.eurecia.com/hc/fr/articles/115000652445-Gestion-des-Ressources-Humaines-RH-Comment-g%C3%A9rer-les-droits-d-acc%C3%A8s-aux-modules-Talents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42349-Gestion-des-Ressources-Humaines-RH-En-tant-que-Manager-comment-pr%C3%A9parer-l-entretien-d-un-collaborateur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hyperlink" Target="https://help.eurecia.com/hc/fr/articles/115000642409-Gestion-des-Ressources-Humaines-RH-Comment-personnaliser-les-trames-des-entretiens-individuels-professionnels-ou-annuels-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84D47-33E7-4CD0-96D1-2EFAF928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2018-08-22T14:14:00Z</dcterms:created>
  <dcterms:modified xsi:type="dcterms:W3CDTF">2018-08-22T14:14:00Z</dcterms:modified>
</cp:coreProperties>
</file>